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4ECE" w14:textId="6B47D7D4" w:rsidR="00385CEB" w:rsidRPr="00EF0569" w:rsidRDefault="00385CEB" w:rsidP="0038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569">
        <w:rPr>
          <w:rFonts w:ascii="Times New Roman" w:hAnsi="Times New Roman" w:cs="Times New Roman"/>
          <w:b/>
          <w:bCs/>
          <w:sz w:val="24"/>
          <w:szCs w:val="24"/>
        </w:rPr>
        <w:t>DECRETO LEGISLATIVO 28 febbraio 2021, n. 36</w:t>
      </w:r>
    </w:p>
    <w:p w14:paraId="0494902C" w14:textId="1282914F" w:rsidR="005B186E" w:rsidRPr="000C3D8A" w:rsidRDefault="00385CEB" w:rsidP="000C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569">
        <w:rPr>
          <w:rFonts w:ascii="Times New Roman" w:hAnsi="Times New Roman" w:cs="Times New Roman"/>
          <w:sz w:val="24"/>
          <w:szCs w:val="24"/>
        </w:rPr>
        <w:t>Attuazione dell'articolo 5 della legge 8 agosto 2019, n. 86, recante riordino e riforma delle disposizioni in</w:t>
      </w:r>
      <w:r w:rsidR="000C3D8A">
        <w:rPr>
          <w:rFonts w:ascii="Times New Roman" w:hAnsi="Times New Roman" w:cs="Times New Roman"/>
          <w:sz w:val="24"/>
          <w:szCs w:val="24"/>
        </w:rPr>
        <w:t xml:space="preserve"> </w:t>
      </w:r>
      <w:r w:rsidRPr="00EF0569">
        <w:rPr>
          <w:rFonts w:ascii="Times New Roman" w:hAnsi="Times New Roman" w:cs="Times New Roman"/>
          <w:sz w:val="24"/>
          <w:szCs w:val="24"/>
        </w:rPr>
        <w:t xml:space="preserve">materia di enti sportivi professionistici e dilettantistici, nonché' di lavoro sportivo. </w:t>
      </w:r>
    </w:p>
    <w:p w14:paraId="7F7D3289" w14:textId="77777777" w:rsidR="00F52EF9" w:rsidRPr="00EF0569" w:rsidRDefault="00F52EF9" w:rsidP="005B186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26B9876" w14:textId="4BAE79A3" w:rsidR="005B186E" w:rsidRPr="00804864" w:rsidRDefault="005B186E" w:rsidP="005B186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bookmarkStart w:id="0" w:name="_Hlk152342151"/>
      <w:r w:rsidRPr="00804864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Art. 28-</w:t>
      </w:r>
      <w:r w:rsidRPr="008048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  <w:t>bis</w:t>
      </w:r>
    </w:p>
    <w:p w14:paraId="04C4D4B7" w14:textId="4D9ADE77" w:rsidR="005B186E" w:rsidRPr="00EF0569" w:rsidRDefault="005B186E" w:rsidP="005B186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Disposizioni relative al rapporto di lavoro con gli atleti di club paralimpici</w:t>
      </w:r>
      <w:r w:rsidR="00385CEB"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</w:p>
    <w:bookmarkEnd w:id="0"/>
    <w:p w14:paraId="0E212EE6" w14:textId="77777777" w:rsidR="005B186E" w:rsidRPr="005B186E" w:rsidRDefault="005B186E" w:rsidP="005B186E">
      <w:pPr>
        <w:autoSpaceDE w:val="0"/>
        <w:autoSpaceDN w:val="0"/>
        <w:adjustRightInd w:val="0"/>
        <w:spacing w:after="0" w:line="276" w:lineRule="auto"/>
        <w:rPr>
          <w:rFonts w:ascii="RobotoMono-BoldItalic" w:eastAsia="Calibri" w:hAnsi="RobotoMono-BoldItalic" w:cs="RobotoMono-BoldItalic"/>
          <w:sz w:val="24"/>
          <w:szCs w:val="24"/>
          <w14:ligatures w14:val="standardContextual"/>
        </w:rPr>
      </w:pPr>
    </w:p>
    <w:p w14:paraId="10AD71C7" w14:textId="15987C89" w:rsidR="00804864" w:rsidRPr="00EF0569" w:rsidRDefault="005B186E" w:rsidP="00EF0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804864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1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Dal 1° gennaio 2024, agli atleti </w:t>
      </w:r>
      <w:bookmarkStart w:id="1" w:name="_Hlk152230989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aventi lo status di lavoratori dipendenti del settore pubblico o del settore privato </w:t>
      </w:r>
      <w:bookmarkEnd w:id="1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che rientrino nella categoria del più alto livello tecnico - agonistico, così come definito dal CIP, riferito alle discipline sportive e alle specialità inserite nel programma ufficiale dei Giochi Paralimpici e dei Giochi olimpici silenziosi (</w:t>
      </w:r>
      <w:proofErr w:type="spellStart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Deaflympics</w:t>
      </w:r>
      <w:proofErr w:type="spellEnd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), che svolgano attività di preparazione </w:t>
      </w:r>
      <w:bookmarkStart w:id="2" w:name="_Hlk152231538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finalizzata alla partecipazione ad eventi sportivi, nonché' che partecipino a raduni della squadra nazionale </w:t>
      </w:r>
      <w:bookmarkEnd w:id="2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 ad eventi</w:t>
      </w:r>
      <w:r w:rsidR="00E36D21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sportivi internazionali, </w:t>
      </w:r>
      <w:bookmarkStart w:id="3" w:name="_Hlk152231283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quali i campionati europei, le gare di coppa del mondo, i campionati mondiali, le paralimpiadi, i </w:t>
      </w:r>
      <w:proofErr w:type="spellStart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Deaflympics</w:t>
      </w:r>
      <w:proofErr w:type="spellEnd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,</w:t>
      </w:r>
      <w:bookmarkEnd w:id="3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bookmarkStart w:id="4" w:name="_Hlk152231421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previa convocazione ufficiale da parte della Federazione Sportiva di appartenenza</w:t>
      </w:r>
      <w:bookmarkEnd w:id="4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</w:t>
      </w:r>
      <w:bookmarkStart w:id="5" w:name="_Hlk152231086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è garantito il mantenimento del posto di lavoro e del trattamento economico e previdenziale da parte del datore di lavoro, mediante l'autorizzazione da rendere da parte del datore di lavoro a seguito di apposita comunicazione di attivazione del CIP, relativamente al numero di giornate di cui fruire e che il datore di lavoro è tenuto a consentire, nei limiti di novanta giorni l'anno e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 massimo trenta giorni continuativi</w:t>
      </w:r>
      <w:bookmarkEnd w:id="5"/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0E5AE5DC" w14:textId="15EE472C" w:rsidR="00804864" w:rsidRDefault="005B186E" w:rsidP="00EF0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804864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2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 A partire dall'anno 2024, ai datori di lavoro degli atleti di cui al comma 1, che ne facciano richiesta, è rimborsato, nei limiti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delle risorse finanziarie a tale scopo disponibili, l'equivalente del trattamento economico e previdenziale versato di cui al comma 1. </w:t>
      </w:r>
    </w:p>
    <w:p w14:paraId="7D02AC8B" w14:textId="712D2DAF" w:rsidR="00804864" w:rsidRPr="00EF0569" w:rsidRDefault="005B186E" w:rsidP="00EF05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istanze volte ad ottenere il rimborso, da parte dei datori di lavoro degli atleti, degli emolumenti versati ai propri dipendenti devono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essere presentate al CIP che ha reso la comunicazione di attivazione che, effettuate le necessarie verifiche istruttorie, provvede a rimborsare. Le richieste di rimborso da parte dei datori di lavoro devono pervenire entro l'anno successivo alla effettiva fruizione dei permessi per l’attività di preparazione, o entro l'anno successivo alla conclusione dell'evento sportivo al quale l'atleta ha preso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parte e sono presentate mediante esibizione dei prospetti di paga attestanti le somme effettivamente corrisposte. Le richieste di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rimborso verificate sono ammissibili e soddisfatte, fino a un massimo complessivo di un milione di euro annui a decorrere dall'anno 2024 a valere sulle dotazioni economiche del CIP, che ne determina le modalità e gli eventuali limiti di erogazione.</w:t>
      </w:r>
    </w:p>
    <w:p w14:paraId="0D007269" w14:textId="253EC73A" w:rsidR="00395766" w:rsidRPr="003C23F3" w:rsidRDefault="005B186E" w:rsidP="003C23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804864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3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 Le disposizioni di cui al presente articolo non si applicano agli atleti paralimpici in servizio presso i Gruppi sportivi militari</w:t>
      </w:r>
      <w:r w:rsidR="000C3D8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 i Gruppi sportivi dei Corpi civili dello Stato, limitatamente all’attività sportiva istituzionale</w:t>
      </w:r>
      <w:r w:rsidR="00D454C1" w:rsidRPr="00EF056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  <w:bookmarkStart w:id="6" w:name="_Hlk151562451"/>
    </w:p>
    <w:bookmarkEnd w:id="6"/>
    <w:p w14:paraId="302CFAA3" w14:textId="3CCC8248" w:rsidR="009E2737" w:rsidRPr="005B186E" w:rsidRDefault="009E2737" w:rsidP="009E2737">
      <w:pPr>
        <w:rPr>
          <w:rFonts w:asciiTheme="majorHAnsi" w:hAnsiTheme="majorHAnsi"/>
          <w:sz w:val="24"/>
          <w:szCs w:val="24"/>
        </w:rPr>
      </w:pPr>
    </w:p>
    <w:sectPr w:rsidR="009E2737" w:rsidRPr="005B186E" w:rsidSect="00EE686A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BDB4" w14:textId="77777777" w:rsidR="007E20D9" w:rsidRDefault="007E20D9" w:rsidP="00D950A3">
      <w:pPr>
        <w:spacing w:after="0" w:line="240" w:lineRule="auto"/>
      </w:pPr>
      <w:r>
        <w:separator/>
      </w:r>
    </w:p>
  </w:endnote>
  <w:endnote w:type="continuationSeparator" w:id="0">
    <w:p w14:paraId="63293E03" w14:textId="77777777" w:rsidR="007E20D9" w:rsidRDefault="007E20D9" w:rsidP="00D9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Mono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B23D" w14:textId="326BD7C7" w:rsidR="008F60B0" w:rsidRDefault="008F60B0">
    <w:pPr>
      <w:pStyle w:val="Pidipagina"/>
      <w:jc w:val="right"/>
    </w:pPr>
  </w:p>
  <w:p w14:paraId="7027C37B" w14:textId="186D3337" w:rsidR="00D950A3" w:rsidRDefault="00D95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0594" w14:textId="77777777" w:rsidR="007E20D9" w:rsidRDefault="007E20D9" w:rsidP="00D950A3">
      <w:pPr>
        <w:spacing w:after="0" w:line="240" w:lineRule="auto"/>
      </w:pPr>
      <w:r>
        <w:separator/>
      </w:r>
    </w:p>
  </w:footnote>
  <w:footnote w:type="continuationSeparator" w:id="0">
    <w:p w14:paraId="5B82918B" w14:textId="77777777" w:rsidR="007E20D9" w:rsidRDefault="007E20D9" w:rsidP="00D9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57B" w14:textId="77777777" w:rsidR="003C23F3" w:rsidRPr="003C23F3" w:rsidRDefault="0067776F" w:rsidP="003C23F3">
    <w:pPr>
      <w:spacing w:line="240" w:lineRule="auto"/>
      <w:jc w:val="center"/>
      <w:rPr>
        <w:rFonts w:asciiTheme="majorHAnsi" w:hAnsiTheme="majorHAnsi"/>
        <w:b/>
        <w:bCs/>
        <w:color w:val="0070C0"/>
      </w:rPr>
    </w:pPr>
    <w:r w:rsidRPr="008F60B0">
      <w:t xml:space="preserve">          </w:t>
    </w:r>
    <w:r w:rsidRPr="008F60B0">
      <w:tab/>
    </w:r>
    <w:r w:rsidR="003C23F3" w:rsidRPr="003C23F3">
      <w:rPr>
        <w:rFonts w:asciiTheme="majorHAnsi" w:hAnsiTheme="majorHAnsi"/>
        <w:b/>
        <w:bCs/>
        <w:color w:val="0070C0"/>
      </w:rPr>
      <w:t>Art. 28-</w:t>
    </w:r>
    <w:r w:rsidR="003C23F3" w:rsidRPr="003C23F3">
      <w:rPr>
        <w:rFonts w:asciiTheme="majorHAnsi" w:hAnsiTheme="majorHAnsi"/>
        <w:b/>
        <w:bCs/>
        <w:i/>
        <w:iCs/>
        <w:color w:val="0070C0"/>
      </w:rPr>
      <w:t>bis</w:t>
    </w:r>
  </w:p>
  <w:p w14:paraId="221DCE9F" w14:textId="3A929F28" w:rsidR="003C23F3" w:rsidRPr="003C23F3" w:rsidRDefault="003C23F3" w:rsidP="003C23F3">
    <w:pPr>
      <w:spacing w:line="240" w:lineRule="auto"/>
      <w:jc w:val="center"/>
      <w:rPr>
        <w:rFonts w:asciiTheme="majorHAnsi" w:hAnsiTheme="majorHAnsi"/>
        <w:b/>
        <w:i/>
        <w:iCs/>
        <w:color w:val="0070C0"/>
      </w:rPr>
    </w:pPr>
    <w:r w:rsidRPr="003C23F3">
      <w:rPr>
        <w:rFonts w:asciiTheme="majorHAnsi" w:hAnsiTheme="majorHAnsi"/>
        <w:b/>
        <w:i/>
        <w:iCs/>
        <w:color w:val="0070C0"/>
      </w:rPr>
      <w:t>Disposizioni relative al rapporto di lavoro con gli atleti di club paralimpici</w:t>
    </w:r>
  </w:p>
  <w:p w14:paraId="087BBAF8" w14:textId="6C8C628E" w:rsidR="0067776F" w:rsidRDefault="0067776F" w:rsidP="003C23F3">
    <w:pPr>
      <w:spacing w:line="240" w:lineRule="auto"/>
      <w:jc w:val="center"/>
    </w:pPr>
    <w:r>
      <w:ptab w:relativeTo="margin" w:alignment="center" w:leader="none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431"/>
    <w:multiLevelType w:val="hybridMultilevel"/>
    <w:tmpl w:val="8E942CE8"/>
    <w:lvl w:ilvl="0" w:tplc="D5B04E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49A"/>
    <w:multiLevelType w:val="hybridMultilevel"/>
    <w:tmpl w:val="85D22FAE"/>
    <w:lvl w:ilvl="0" w:tplc="AAAE45A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FE0539"/>
    <w:multiLevelType w:val="hybridMultilevel"/>
    <w:tmpl w:val="BED0D982"/>
    <w:lvl w:ilvl="0" w:tplc="2668C4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DC1D0F"/>
    <w:multiLevelType w:val="hybridMultilevel"/>
    <w:tmpl w:val="CED20D86"/>
    <w:lvl w:ilvl="0" w:tplc="AAAE45AE">
      <w:numFmt w:val="bullet"/>
      <w:lvlText w:val="-"/>
      <w:lvlJc w:val="left"/>
      <w:pPr>
        <w:ind w:left="15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2F465770"/>
    <w:multiLevelType w:val="hybridMultilevel"/>
    <w:tmpl w:val="FAD6823C"/>
    <w:lvl w:ilvl="0" w:tplc="F6C23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6320"/>
    <w:multiLevelType w:val="hybridMultilevel"/>
    <w:tmpl w:val="FFD89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4B03"/>
    <w:multiLevelType w:val="hybridMultilevel"/>
    <w:tmpl w:val="F9DE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59D6"/>
    <w:multiLevelType w:val="hybridMultilevel"/>
    <w:tmpl w:val="3EF46E96"/>
    <w:lvl w:ilvl="0" w:tplc="E4868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5216">
    <w:abstractNumId w:val="7"/>
  </w:num>
  <w:num w:numId="2" w16cid:durableId="2146703457">
    <w:abstractNumId w:val="4"/>
  </w:num>
  <w:num w:numId="3" w16cid:durableId="861212438">
    <w:abstractNumId w:val="6"/>
  </w:num>
  <w:num w:numId="4" w16cid:durableId="1337656916">
    <w:abstractNumId w:val="5"/>
  </w:num>
  <w:num w:numId="5" w16cid:durableId="966204642">
    <w:abstractNumId w:val="0"/>
  </w:num>
  <w:num w:numId="6" w16cid:durableId="2073120647">
    <w:abstractNumId w:val="2"/>
  </w:num>
  <w:num w:numId="7" w16cid:durableId="256603269">
    <w:abstractNumId w:val="3"/>
  </w:num>
  <w:num w:numId="8" w16cid:durableId="190548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D"/>
    <w:rsid w:val="00045BE0"/>
    <w:rsid w:val="00046F78"/>
    <w:rsid w:val="00052223"/>
    <w:rsid w:val="000C3D8A"/>
    <w:rsid w:val="000C781E"/>
    <w:rsid w:val="00147AA1"/>
    <w:rsid w:val="00164648"/>
    <w:rsid w:val="001C35F7"/>
    <w:rsid w:val="00262947"/>
    <w:rsid w:val="0026662F"/>
    <w:rsid w:val="002710EF"/>
    <w:rsid w:val="002B2D63"/>
    <w:rsid w:val="002B76AA"/>
    <w:rsid w:val="003262C2"/>
    <w:rsid w:val="00327E0E"/>
    <w:rsid w:val="0035402B"/>
    <w:rsid w:val="00367BB0"/>
    <w:rsid w:val="00385CEB"/>
    <w:rsid w:val="00386A49"/>
    <w:rsid w:val="00395766"/>
    <w:rsid w:val="003A62CA"/>
    <w:rsid w:val="003C23F3"/>
    <w:rsid w:val="003D7C22"/>
    <w:rsid w:val="003F5B61"/>
    <w:rsid w:val="00402B65"/>
    <w:rsid w:val="00410391"/>
    <w:rsid w:val="004263A4"/>
    <w:rsid w:val="00437805"/>
    <w:rsid w:val="004A5A41"/>
    <w:rsid w:val="004E523C"/>
    <w:rsid w:val="005001F0"/>
    <w:rsid w:val="00554B0B"/>
    <w:rsid w:val="00567955"/>
    <w:rsid w:val="00571FBA"/>
    <w:rsid w:val="005724F9"/>
    <w:rsid w:val="005B186E"/>
    <w:rsid w:val="00605C2C"/>
    <w:rsid w:val="00645DF4"/>
    <w:rsid w:val="00647358"/>
    <w:rsid w:val="00653483"/>
    <w:rsid w:val="00673AF8"/>
    <w:rsid w:val="0067776F"/>
    <w:rsid w:val="006B6E35"/>
    <w:rsid w:val="006F7A76"/>
    <w:rsid w:val="0071744C"/>
    <w:rsid w:val="0074572E"/>
    <w:rsid w:val="007A6B68"/>
    <w:rsid w:val="007B2BCF"/>
    <w:rsid w:val="007C1F2A"/>
    <w:rsid w:val="007D73EB"/>
    <w:rsid w:val="007E20D9"/>
    <w:rsid w:val="007F17CA"/>
    <w:rsid w:val="007F3C9B"/>
    <w:rsid w:val="00804864"/>
    <w:rsid w:val="00814ADC"/>
    <w:rsid w:val="00836886"/>
    <w:rsid w:val="00841EBF"/>
    <w:rsid w:val="008510A9"/>
    <w:rsid w:val="00853DD6"/>
    <w:rsid w:val="00875590"/>
    <w:rsid w:val="0089236D"/>
    <w:rsid w:val="008B2710"/>
    <w:rsid w:val="008F60B0"/>
    <w:rsid w:val="009048A1"/>
    <w:rsid w:val="00911A65"/>
    <w:rsid w:val="00953CD1"/>
    <w:rsid w:val="009825D0"/>
    <w:rsid w:val="00984559"/>
    <w:rsid w:val="009A77CB"/>
    <w:rsid w:val="009C3B6D"/>
    <w:rsid w:val="009E2737"/>
    <w:rsid w:val="009F40DA"/>
    <w:rsid w:val="00A02E44"/>
    <w:rsid w:val="00A33556"/>
    <w:rsid w:val="00A852DC"/>
    <w:rsid w:val="00AB5732"/>
    <w:rsid w:val="00AC43D5"/>
    <w:rsid w:val="00AC6F27"/>
    <w:rsid w:val="00B11CA2"/>
    <w:rsid w:val="00B23369"/>
    <w:rsid w:val="00B25249"/>
    <w:rsid w:val="00B436CE"/>
    <w:rsid w:val="00B762FC"/>
    <w:rsid w:val="00B774E0"/>
    <w:rsid w:val="00B77EF1"/>
    <w:rsid w:val="00B91F99"/>
    <w:rsid w:val="00BF1E10"/>
    <w:rsid w:val="00C1052A"/>
    <w:rsid w:val="00C55C47"/>
    <w:rsid w:val="00C635C1"/>
    <w:rsid w:val="00C76648"/>
    <w:rsid w:val="00C958DB"/>
    <w:rsid w:val="00CC6957"/>
    <w:rsid w:val="00CD5A20"/>
    <w:rsid w:val="00CF4CE3"/>
    <w:rsid w:val="00D03A58"/>
    <w:rsid w:val="00D052D7"/>
    <w:rsid w:val="00D11A11"/>
    <w:rsid w:val="00D454C1"/>
    <w:rsid w:val="00D52B20"/>
    <w:rsid w:val="00D55FD0"/>
    <w:rsid w:val="00D950A3"/>
    <w:rsid w:val="00D9761B"/>
    <w:rsid w:val="00DC1481"/>
    <w:rsid w:val="00DD3034"/>
    <w:rsid w:val="00DF46A2"/>
    <w:rsid w:val="00E36D21"/>
    <w:rsid w:val="00E54BF5"/>
    <w:rsid w:val="00E863D5"/>
    <w:rsid w:val="00E8719F"/>
    <w:rsid w:val="00EA257B"/>
    <w:rsid w:val="00EB288D"/>
    <w:rsid w:val="00EB4B89"/>
    <w:rsid w:val="00EE686A"/>
    <w:rsid w:val="00EF0569"/>
    <w:rsid w:val="00F43C9B"/>
    <w:rsid w:val="00F52EF9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51EA"/>
  <w15:docId w15:val="{24C01E8C-8FBD-49D5-806B-D295057A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3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2B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5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0A3"/>
  </w:style>
  <w:style w:type="paragraph" w:styleId="Pidipagina">
    <w:name w:val="footer"/>
    <w:basedOn w:val="Normale"/>
    <w:link w:val="PidipaginaCarattere"/>
    <w:uiPriority w:val="99"/>
    <w:unhideWhenUsed/>
    <w:rsid w:val="00D95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0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B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2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Mastrodomenico</dc:creator>
  <cp:keywords/>
  <dc:description/>
  <cp:lastModifiedBy>Legale Statuti</cp:lastModifiedBy>
  <cp:revision>2</cp:revision>
  <cp:lastPrinted>2023-11-30T11:01:00Z</cp:lastPrinted>
  <dcterms:created xsi:type="dcterms:W3CDTF">2023-12-01T15:57:00Z</dcterms:created>
  <dcterms:modified xsi:type="dcterms:W3CDTF">2023-12-01T15:57:00Z</dcterms:modified>
</cp:coreProperties>
</file>